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8C" w:rsidRDefault="00BE618C" w:rsidP="00BE618C">
      <w:pPr>
        <w:jc w:val="both"/>
        <w:rPr>
          <w:b/>
          <w:sz w:val="24"/>
          <w:szCs w:val="24"/>
        </w:rPr>
      </w:pPr>
      <w:r>
        <w:rPr>
          <w:b/>
          <w:sz w:val="24"/>
          <w:szCs w:val="24"/>
        </w:rPr>
        <w:tab/>
      </w:r>
      <w:r w:rsidRPr="00BE618C">
        <w:rPr>
          <w:b/>
          <w:sz w:val="24"/>
          <w:szCs w:val="24"/>
        </w:rPr>
        <w:t xml:space="preserve"> </w:t>
      </w:r>
      <w:r w:rsidR="003C28B5" w:rsidRPr="00BE618C">
        <w:rPr>
          <w:b/>
          <w:sz w:val="24"/>
          <w:szCs w:val="24"/>
        </w:rPr>
        <w:t>ТЕХНИЧЕСКА СПЕЦИФИКАЦИЯ ЗА ИЗПЪЛНЕНИЕ НА ПОРЪЧКАТА.</w:t>
      </w:r>
    </w:p>
    <w:p w:rsidR="00BE618C" w:rsidRPr="00BE618C" w:rsidRDefault="00BE618C" w:rsidP="00BE618C">
      <w:pPr>
        <w:jc w:val="both"/>
        <w:rPr>
          <w:b/>
          <w:sz w:val="24"/>
          <w:szCs w:val="24"/>
        </w:rPr>
      </w:pPr>
    </w:p>
    <w:p w:rsidR="00BE618C" w:rsidRDefault="00BE618C" w:rsidP="00BE618C">
      <w:pPr>
        <w:spacing w:line="360" w:lineRule="auto"/>
        <w:jc w:val="both"/>
        <w:rPr>
          <w:sz w:val="25"/>
          <w:szCs w:val="25"/>
        </w:rPr>
      </w:pPr>
      <w:r>
        <w:rPr>
          <w:sz w:val="25"/>
          <w:szCs w:val="25"/>
        </w:rPr>
        <w:tab/>
        <w:t>Наименование на с</w:t>
      </w:r>
      <w:bookmarkStart w:id="0" w:name="_GoBack"/>
      <w:bookmarkEnd w:id="0"/>
      <w:r>
        <w:rPr>
          <w:sz w:val="25"/>
          <w:szCs w:val="25"/>
        </w:rPr>
        <w:t>токата: Дизелово моторно гориво/</w:t>
      </w:r>
      <w:proofErr w:type="spellStart"/>
      <w:r>
        <w:rPr>
          <w:sz w:val="25"/>
          <w:szCs w:val="25"/>
        </w:rPr>
        <w:t>евродизел</w:t>
      </w:r>
      <w:proofErr w:type="spellEnd"/>
      <w:r>
        <w:rPr>
          <w:sz w:val="25"/>
          <w:szCs w:val="25"/>
        </w:rPr>
        <w:t xml:space="preserve">/, </w:t>
      </w:r>
      <w:proofErr w:type="spellStart"/>
      <w:r>
        <w:rPr>
          <w:sz w:val="25"/>
          <w:szCs w:val="25"/>
        </w:rPr>
        <w:t>безоловен</w:t>
      </w:r>
      <w:proofErr w:type="spellEnd"/>
      <w:r>
        <w:rPr>
          <w:sz w:val="25"/>
          <w:szCs w:val="25"/>
        </w:rPr>
        <w:t xml:space="preserve"> бензин А95Н и Газ </w:t>
      </w:r>
      <w:proofErr w:type="spellStart"/>
      <w:r>
        <w:rPr>
          <w:sz w:val="25"/>
          <w:szCs w:val="25"/>
        </w:rPr>
        <w:t>пропан-бутан</w:t>
      </w:r>
      <w:proofErr w:type="spellEnd"/>
      <w:r>
        <w:rPr>
          <w:sz w:val="25"/>
          <w:szCs w:val="25"/>
        </w:rPr>
        <w:t>.</w:t>
      </w:r>
    </w:p>
    <w:p w:rsidR="00BE618C" w:rsidRDefault="00BE618C" w:rsidP="00BE618C">
      <w:pPr>
        <w:jc w:val="both"/>
        <w:rPr>
          <w:sz w:val="16"/>
          <w:szCs w:val="16"/>
        </w:rPr>
      </w:pPr>
    </w:p>
    <w:p w:rsidR="00BE618C" w:rsidRDefault="00BE618C" w:rsidP="00BE618C">
      <w:pPr>
        <w:jc w:val="both"/>
        <w:rPr>
          <w:sz w:val="25"/>
          <w:szCs w:val="25"/>
        </w:rPr>
      </w:pPr>
      <w:r>
        <w:rPr>
          <w:sz w:val="25"/>
          <w:szCs w:val="25"/>
        </w:rPr>
        <w:tab/>
        <w:t xml:space="preserve">Качество: БДС, сертификати за качество, заводски </w:t>
      </w:r>
      <w:proofErr w:type="spellStart"/>
      <w:r>
        <w:rPr>
          <w:sz w:val="25"/>
          <w:szCs w:val="25"/>
        </w:rPr>
        <w:t>нормали</w:t>
      </w:r>
      <w:proofErr w:type="spellEnd"/>
      <w:r>
        <w:rPr>
          <w:sz w:val="25"/>
          <w:szCs w:val="25"/>
        </w:rPr>
        <w:t>, лабораторни свидетелства и др. Да отговаря на изискванията на Наредбата за изискванията за качеството на течните горива, условията, реда и начина на техния контрол”, приета с ПМС № 156 от 15.07.2003 година</w:t>
      </w:r>
      <w:r>
        <w:rPr>
          <w:sz w:val="25"/>
          <w:szCs w:val="25"/>
          <w:lang w:val="en-US"/>
        </w:rPr>
        <w:t xml:space="preserve"> </w:t>
      </w:r>
      <w:r>
        <w:rPr>
          <w:sz w:val="25"/>
          <w:szCs w:val="25"/>
        </w:rPr>
        <w:t>(</w:t>
      </w:r>
      <w:proofErr w:type="spellStart"/>
      <w:r>
        <w:rPr>
          <w:sz w:val="25"/>
          <w:szCs w:val="25"/>
        </w:rPr>
        <w:t>Обн</w:t>
      </w:r>
      <w:proofErr w:type="spellEnd"/>
      <w:r>
        <w:rPr>
          <w:sz w:val="25"/>
          <w:szCs w:val="25"/>
        </w:rPr>
        <w:t>. ДВ. бр. 66 от 25.07.2003 г., изм. ДВ. бр. 69 от 23.08.2005 г., изм. ДВ. бр. 78 от 30.09.2005 г., изм. ДВ. бр. 40 от 16.05.2006 г., изм. ДВ. бр. 76 от 21.09.2007 г., изм. ДВ. бр. 93 от 24.11.2009 г., изм. ДВ. бр. 36 от 10.05.2011 г., изм. и доп. ДВ. бр. 55 от 20.07.2012 г., изм. ДВ. бр. 103 от 28.12.2012 г., изм. и доп. ДВ. бр. 88 от 24.10.2014 г.).</w:t>
      </w:r>
    </w:p>
    <w:p w:rsidR="00BE618C" w:rsidRDefault="00BE618C" w:rsidP="00BE618C">
      <w:pPr>
        <w:jc w:val="both"/>
        <w:rPr>
          <w:sz w:val="16"/>
          <w:szCs w:val="16"/>
        </w:rPr>
      </w:pPr>
    </w:p>
    <w:p w:rsidR="00BE618C" w:rsidRDefault="00BE618C" w:rsidP="00BE618C">
      <w:pPr>
        <w:spacing w:line="360" w:lineRule="auto"/>
        <w:jc w:val="both"/>
        <w:rPr>
          <w:sz w:val="25"/>
          <w:szCs w:val="25"/>
        </w:rPr>
      </w:pPr>
      <w:r>
        <w:rPr>
          <w:sz w:val="25"/>
          <w:szCs w:val="25"/>
        </w:rPr>
        <w:tab/>
        <w:t>Опаковка: наливно.</w:t>
      </w:r>
    </w:p>
    <w:p w:rsidR="00BE618C" w:rsidRDefault="00BE618C" w:rsidP="00BE618C">
      <w:pPr>
        <w:spacing w:line="360" w:lineRule="auto"/>
        <w:jc w:val="both"/>
        <w:rPr>
          <w:sz w:val="25"/>
          <w:szCs w:val="25"/>
        </w:rPr>
      </w:pPr>
      <w:r>
        <w:rPr>
          <w:sz w:val="25"/>
          <w:szCs w:val="25"/>
        </w:rPr>
        <w:tab/>
        <w:t>Година на производство: годината, през която ще се зарежда.</w:t>
      </w:r>
    </w:p>
    <w:p w:rsidR="00BE618C" w:rsidRDefault="00BE618C" w:rsidP="00BE618C">
      <w:pPr>
        <w:spacing w:line="360" w:lineRule="auto"/>
        <w:jc w:val="both"/>
        <w:rPr>
          <w:sz w:val="25"/>
          <w:szCs w:val="25"/>
        </w:rPr>
      </w:pPr>
      <w:r>
        <w:rPr>
          <w:sz w:val="25"/>
          <w:szCs w:val="25"/>
        </w:rPr>
        <w:tab/>
        <w:t>Срок на годност; съхранение: по БДС.</w:t>
      </w:r>
    </w:p>
    <w:p w:rsidR="00BE618C" w:rsidRDefault="00BE618C" w:rsidP="00BE618C">
      <w:pPr>
        <w:spacing w:line="360" w:lineRule="auto"/>
        <w:jc w:val="both"/>
        <w:rPr>
          <w:sz w:val="25"/>
          <w:szCs w:val="25"/>
        </w:rPr>
      </w:pPr>
      <w:r>
        <w:rPr>
          <w:sz w:val="25"/>
          <w:szCs w:val="25"/>
        </w:rPr>
        <w:tab/>
        <w:t>Модул на делимост: съобразно нуждите на възложителя.</w:t>
      </w:r>
    </w:p>
    <w:p w:rsidR="00BE618C" w:rsidRDefault="00BE618C" w:rsidP="00BE618C">
      <w:pPr>
        <w:spacing w:line="360" w:lineRule="auto"/>
        <w:jc w:val="both"/>
        <w:rPr>
          <w:sz w:val="25"/>
          <w:szCs w:val="25"/>
        </w:rPr>
      </w:pPr>
      <w:r>
        <w:rPr>
          <w:sz w:val="25"/>
          <w:szCs w:val="25"/>
        </w:rPr>
        <w:tab/>
        <w:t>Норма на товарене: според нуждите на възложителя.</w:t>
      </w:r>
    </w:p>
    <w:p w:rsidR="00BE618C" w:rsidRDefault="00BE618C" w:rsidP="00BE618C">
      <w:pPr>
        <w:spacing w:line="360" w:lineRule="auto"/>
        <w:jc w:val="both"/>
        <w:rPr>
          <w:sz w:val="25"/>
          <w:szCs w:val="25"/>
        </w:rPr>
      </w:pPr>
      <w:r>
        <w:rPr>
          <w:sz w:val="25"/>
          <w:szCs w:val="25"/>
        </w:rPr>
        <w:tab/>
        <w:t>Зареждането на автомобилите се извършва чрез издадени от ИЗПЪЛНИТЕЛЯ карти. Издаването на картите е за сметка на ИЗПЪЛНИТЕЛЯ. ВЪЗЛОЖИТЕЛЯТ с уведомително писмо уведомява ИЗПЪЛНИТЕЛЯ за необходимият брой карти, които последния трябва да издаде за нуждите на изпълнение на настоящата обществена поръчка.</w:t>
      </w:r>
    </w:p>
    <w:p w:rsidR="00BE618C" w:rsidRDefault="00BE618C" w:rsidP="00BE618C">
      <w:pPr>
        <w:spacing w:line="360" w:lineRule="auto"/>
        <w:jc w:val="both"/>
        <w:rPr>
          <w:sz w:val="25"/>
          <w:szCs w:val="25"/>
        </w:rPr>
      </w:pPr>
      <w:r>
        <w:rPr>
          <w:sz w:val="25"/>
          <w:szCs w:val="25"/>
        </w:rPr>
        <w:tab/>
        <w:t>Автомобилите, които имат право да зареждат гориво, се определят с едностранно уведомително писмо от ВЪЗЛОЖИТЕЛЯ. При промяна на автомобилите, ВЪЗЛОЖИТЕЛЯ едностранно уведомява ИЗПЪЛНИТЕЛЯ с нарочно писмо.</w:t>
      </w:r>
    </w:p>
    <w:p w:rsidR="00BE618C" w:rsidRDefault="00BE618C" w:rsidP="00BE618C">
      <w:pPr>
        <w:spacing w:line="360" w:lineRule="auto"/>
        <w:jc w:val="both"/>
        <w:rPr>
          <w:sz w:val="25"/>
          <w:szCs w:val="25"/>
        </w:rPr>
      </w:pPr>
      <w:r>
        <w:rPr>
          <w:sz w:val="25"/>
          <w:szCs w:val="25"/>
        </w:rPr>
        <w:tab/>
        <w:t>За да бъде допустимо зареждането на автомобил е необходимо да бъдат налице следните кумулативни предпоставки:</w:t>
      </w:r>
    </w:p>
    <w:p w:rsidR="00BE618C" w:rsidRDefault="00BE618C" w:rsidP="00BE618C">
      <w:pPr>
        <w:numPr>
          <w:ilvl w:val="0"/>
          <w:numId w:val="1"/>
        </w:numPr>
        <w:overflowPunct w:val="0"/>
        <w:autoSpaceDE w:val="0"/>
        <w:autoSpaceDN w:val="0"/>
        <w:adjustRightInd w:val="0"/>
        <w:spacing w:line="360" w:lineRule="auto"/>
        <w:jc w:val="both"/>
        <w:rPr>
          <w:sz w:val="25"/>
          <w:szCs w:val="25"/>
        </w:rPr>
      </w:pPr>
      <w:r>
        <w:rPr>
          <w:sz w:val="25"/>
          <w:szCs w:val="25"/>
        </w:rPr>
        <w:t>Водачът на МПС да представи карта, издадена от ИЗПЪЛНИТЕЛЯ;</w:t>
      </w:r>
    </w:p>
    <w:p w:rsidR="00BE618C" w:rsidRDefault="00BE618C" w:rsidP="00BE618C">
      <w:pPr>
        <w:numPr>
          <w:ilvl w:val="0"/>
          <w:numId w:val="1"/>
        </w:numPr>
        <w:overflowPunct w:val="0"/>
        <w:autoSpaceDE w:val="0"/>
        <w:autoSpaceDN w:val="0"/>
        <w:adjustRightInd w:val="0"/>
        <w:spacing w:line="360" w:lineRule="auto"/>
        <w:jc w:val="both"/>
        <w:rPr>
          <w:sz w:val="25"/>
          <w:szCs w:val="25"/>
        </w:rPr>
      </w:pPr>
      <w:r>
        <w:rPr>
          <w:sz w:val="25"/>
          <w:szCs w:val="25"/>
        </w:rPr>
        <w:t>Автомобилът да бъде включен в списъка на МПС, имащи право да зареждат гориво по настоящата обществена поръчка.</w:t>
      </w:r>
    </w:p>
    <w:p w:rsidR="00BE618C" w:rsidRDefault="00BE618C" w:rsidP="00BE618C">
      <w:pPr>
        <w:ind w:firstLine="708"/>
        <w:jc w:val="both"/>
        <w:rPr>
          <w:sz w:val="25"/>
          <w:szCs w:val="25"/>
        </w:rPr>
      </w:pPr>
      <w:r>
        <w:rPr>
          <w:sz w:val="25"/>
          <w:szCs w:val="25"/>
        </w:rPr>
        <w:t xml:space="preserve">Предаване на стоката: на обектите на доставчика, съгласно условията на договора. </w:t>
      </w:r>
    </w:p>
    <w:p w:rsidR="00BE618C" w:rsidRDefault="00BE618C" w:rsidP="00BE618C">
      <w:pPr>
        <w:spacing w:line="360" w:lineRule="auto"/>
        <w:ind w:firstLine="708"/>
        <w:jc w:val="both"/>
        <w:rPr>
          <w:b/>
          <w:sz w:val="12"/>
          <w:szCs w:val="12"/>
        </w:rPr>
      </w:pPr>
    </w:p>
    <w:p w:rsidR="00BE618C" w:rsidRDefault="00BE618C" w:rsidP="00BE618C">
      <w:pPr>
        <w:spacing w:line="360" w:lineRule="auto"/>
        <w:ind w:firstLine="708"/>
        <w:jc w:val="both"/>
        <w:rPr>
          <w:sz w:val="25"/>
          <w:szCs w:val="25"/>
        </w:rPr>
      </w:pPr>
      <w:r>
        <w:rPr>
          <w:sz w:val="25"/>
          <w:szCs w:val="25"/>
        </w:rPr>
        <w:t>Фактуриране - един път месечно.</w:t>
      </w:r>
    </w:p>
    <w:p w:rsidR="00BE618C" w:rsidRDefault="00BE618C" w:rsidP="00BE618C">
      <w:pPr>
        <w:ind w:left="24" w:firstLine="684"/>
        <w:jc w:val="both"/>
        <w:rPr>
          <w:sz w:val="25"/>
          <w:szCs w:val="25"/>
        </w:rPr>
      </w:pPr>
      <w:r>
        <w:rPr>
          <w:sz w:val="25"/>
          <w:szCs w:val="25"/>
        </w:rPr>
        <w:lastRenderedPageBreak/>
        <w:t xml:space="preserve">Начин на плащане: по банков път. Отложено плащане, в срок до 30 (тридесет) календарни дни, от датата на издаване на фактурата, по сметка посочена от Изпълнителя. </w:t>
      </w:r>
    </w:p>
    <w:p w:rsidR="00BE618C" w:rsidRDefault="00BE618C" w:rsidP="00BE618C">
      <w:pPr>
        <w:ind w:left="24" w:firstLine="684"/>
        <w:jc w:val="both"/>
        <w:rPr>
          <w:sz w:val="12"/>
          <w:szCs w:val="12"/>
        </w:rPr>
      </w:pPr>
    </w:p>
    <w:p w:rsidR="00BE618C" w:rsidRDefault="00BE618C" w:rsidP="00BE618C">
      <w:pPr>
        <w:ind w:left="-24" w:firstLine="732"/>
        <w:jc w:val="both"/>
        <w:rPr>
          <w:sz w:val="25"/>
          <w:szCs w:val="25"/>
        </w:rPr>
      </w:pPr>
      <w:r>
        <w:rPr>
          <w:sz w:val="25"/>
          <w:szCs w:val="25"/>
        </w:rPr>
        <w:t xml:space="preserve"> Начин на установяване на количеството - чрез монтираните контролно измервателни уреди на </w:t>
      </w:r>
      <w:proofErr w:type="spellStart"/>
      <w:r>
        <w:rPr>
          <w:sz w:val="25"/>
          <w:szCs w:val="25"/>
        </w:rPr>
        <w:t>бензиноколонките</w:t>
      </w:r>
      <w:proofErr w:type="spellEnd"/>
      <w:r>
        <w:rPr>
          <w:sz w:val="25"/>
          <w:szCs w:val="25"/>
        </w:rPr>
        <w:t xml:space="preserve"> на ПРОДАВАЧА.</w:t>
      </w:r>
    </w:p>
    <w:p w:rsidR="00BE618C" w:rsidRDefault="00BE618C" w:rsidP="00BE618C">
      <w:pPr>
        <w:ind w:left="-24" w:firstLine="732"/>
        <w:jc w:val="both"/>
        <w:rPr>
          <w:sz w:val="12"/>
          <w:szCs w:val="12"/>
        </w:rPr>
      </w:pPr>
      <w:r>
        <w:rPr>
          <w:sz w:val="12"/>
          <w:szCs w:val="12"/>
        </w:rPr>
        <w:tab/>
      </w:r>
    </w:p>
    <w:p w:rsidR="00BE618C" w:rsidRDefault="00BE618C" w:rsidP="00BE618C">
      <w:pPr>
        <w:ind w:firstLine="708"/>
        <w:jc w:val="both"/>
        <w:rPr>
          <w:sz w:val="25"/>
          <w:szCs w:val="25"/>
        </w:rPr>
      </w:pPr>
      <w:proofErr w:type="spellStart"/>
      <w:r>
        <w:rPr>
          <w:sz w:val="25"/>
          <w:szCs w:val="25"/>
        </w:rPr>
        <w:t>Рекламационен</w:t>
      </w:r>
      <w:proofErr w:type="spellEnd"/>
      <w:r>
        <w:rPr>
          <w:sz w:val="25"/>
          <w:szCs w:val="25"/>
        </w:rPr>
        <w:t xml:space="preserve"> срок и начин на уреждане на рекламациите: за видими недостатъци по отношение на количеството и качеството на стоката - в момента на приемане - предаване. За скрити недостатъци - в срок до пет  работни дни.</w:t>
      </w:r>
    </w:p>
    <w:p w:rsidR="00BE618C" w:rsidRDefault="00BE618C" w:rsidP="00BE618C">
      <w:pPr>
        <w:ind w:firstLine="708"/>
        <w:jc w:val="both"/>
        <w:rPr>
          <w:sz w:val="12"/>
          <w:szCs w:val="12"/>
        </w:rPr>
      </w:pPr>
    </w:p>
    <w:p w:rsidR="00BE618C" w:rsidRDefault="00BE618C" w:rsidP="00BE618C">
      <w:pPr>
        <w:ind w:firstLine="708"/>
        <w:jc w:val="both"/>
        <w:rPr>
          <w:sz w:val="25"/>
          <w:szCs w:val="25"/>
        </w:rPr>
      </w:pPr>
      <w:r>
        <w:rPr>
          <w:sz w:val="25"/>
          <w:szCs w:val="25"/>
        </w:rPr>
        <w:t>Местонахождение: Република България.</w:t>
      </w:r>
    </w:p>
    <w:p w:rsidR="00BE618C" w:rsidRDefault="00BE618C" w:rsidP="00BE618C">
      <w:pPr>
        <w:ind w:firstLine="708"/>
        <w:jc w:val="both"/>
        <w:rPr>
          <w:sz w:val="12"/>
          <w:szCs w:val="12"/>
        </w:rPr>
      </w:pPr>
    </w:p>
    <w:p w:rsidR="00BE618C" w:rsidRDefault="00BE618C" w:rsidP="00BE618C">
      <w:pPr>
        <w:ind w:firstLine="708"/>
        <w:jc w:val="both"/>
        <w:rPr>
          <w:sz w:val="25"/>
          <w:szCs w:val="25"/>
        </w:rPr>
      </w:pPr>
      <w:r>
        <w:rPr>
          <w:sz w:val="25"/>
          <w:szCs w:val="25"/>
        </w:rPr>
        <w:t xml:space="preserve">Документация на стоката: декларация за съответствие на стоката, съгласно по-горе цитираната наредба. </w:t>
      </w:r>
    </w:p>
    <w:p w:rsidR="00BE618C" w:rsidRPr="004339E2" w:rsidRDefault="00BE618C" w:rsidP="00BE618C">
      <w:pPr>
        <w:jc w:val="both"/>
        <w:rPr>
          <w:sz w:val="24"/>
          <w:szCs w:val="24"/>
        </w:rPr>
      </w:pPr>
    </w:p>
    <w:p w:rsidR="00BE618C" w:rsidRPr="004339E2" w:rsidRDefault="00BE618C" w:rsidP="00BE618C">
      <w:pPr>
        <w:jc w:val="both"/>
        <w:rPr>
          <w:b/>
          <w:sz w:val="24"/>
          <w:szCs w:val="24"/>
        </w:rPr>
      </w:pPr>
      <w:r w:rsidRPr="004339E2">
        <w:rPr>
          <w:sz w:val="24"/>
          <w:szCs w:val="24"/>
        </w:rPr>
        <w:tab/>
      </w:r>
      <w:r>
        <w:rPr>
          <w:b/>
          <w:sz w:val="24"/>
          <w:szCs w:val="24"/>
        </w:rPr>
        <w:t>Количествена сметка</w:t>
      </w:r>
      <w:r w:rsidRPr="004339E2">
        <w:rPr>
          <w:b/>
          <w:sz w:val="24"/>
          <w:szCs w:val="24"/>
        </w:rPr>
        <w:t>:</w:t>
      </w:r>
    </w:p>
    <w:p w:rsidR="00BE618C" w:rsidRPr="004339E2" w:rsidRDefault="00BE618C" w:rsidP="00BE618C">
      <w:pPr>
        <w:jc w:val="both"/>
        <w:rPr>
          <w:sz w:val="24"/>
          <w:szCs w:val="24"/>
        </w:rPr>
      </w:pPr>
    </w:p>
    <w:tbl>
      <w:tblPr>
        <w:tblW w:w="7722" w:type="dxa"/>
        <w:tblLook w:val="04A0" w:firstRow="1" w:lastRow="0" w:firstColumn="1" w:lastColumn="0" w:noHBand="0" w:noVBand="1"/>
      </w:tblPr>
      <w:tblGrid>
        <w:gridCol w:w="5978"/>
        <w:gridCol w:w="819"/>
        <w:gridCol w:w="925"/>
      </w:tblGrid>
      <w:tr w:rsidR="00BE618C" w:rsidRPr="004339E2" w:rsidTr="00D63D66">
        <w:trPr>
          <w:trHeight w:val="390"/>
        </w:trPr>
        <w:tc>
          <w:tcPr>
            <w:tcW w:w="5978" w:type="dxa"/>
            <w:tcBorders>
              <w:top w:val="nil"/>
              <w:left w:val="nil"/>
              <w:bottom w:val="single" w:sz="8" w:space="0" w:color="auto"/>
              <w:right w:val="nil"/>
            </w:tcBorders>
            <w:noWrap/>
            <w:vAlign w:val="bottom"/>
            <w:hideMark/>
          </w:tcPr>
          <w:p w:rsidR="00BE618C" w:rsidRPr="004339E2" w:rsidRDefault="00BE618C" w:rsidP="00D63D66"/>
        </w:tc>
        <w:tc>
          <w:tcPr>
            <w:tcW w:w="819" w:type="dxa"/>
            <w:tcBorders>
              <w:top w:val="nil"/>
              <w:left w:val="nil"/>
              <w:bottom w:val="single" w:sz="8" w:space="0" w:color="auto"/>
              <w:right w:val="nil"/>
            </w:tcBorders>
            <w:noWrap/>
            <w:vAlign w:val="bottom"/>
            <w:hideMark/>
          </w:tcPr>
          <w:p w:rsidR="00BE618C" w:rsidRPr="004339E2" w:rsidRDefault="00BE618C" w:rsidP="00D63D66"/>
        </w:tc>
        <w:tc>
          <w:tcPr>
            <w:tcW w:w="925" w:type="dxa"/>
            <w:tcBorders>
              <w:top w:val="nil"/>
              <w:left w:val="nil"/>
              <w:bottom w:val="single" w:sz="8" w:space="0" w:color="auto"/>
              <w:right w:val="nil"/>
            </w:tcBorders>
            <w:noWrap/>
            <w:vAlign w:val="bottom"/>
            <w:hideMark/>
          </w:tcPr>
          <w:p w:rsidR="00BE618C" w:rsidRPr="004339E2" w:rsidRDefault="00BE618C" w:rsidP="00D63D66"/>
        </w:tc>
      </w:tr>
      <w:tr w:rsidR="00BE618C" w:rsidRPr="004339E2" w:rsidTr="00D63D66">
        <w:trPr>
          <w:trHeight w:val="315"/>
        </w:trPr>
        <w:tc>
          <w:tcPr>
            <w:tcW w:w="5978" w:type="dxa"/>
            <w:tcBorders>
              <w:top w:val="single" w:sz="8" w:space="0" w:color="auto"/>
              <w:left w:val="single" w:sz="8" w:space="0" w:color="auto"/>
              <w:bottom w:val="single" w:sz="4" w:space="0" w:color="auto"/>
              <w:right w:val="single" w:sz="4" w:space="0" w:color="auto"/>
            </w:tcBorders>
            <w:noWrap/>
            <w:vAlign w:val="bottom"/>
            <w:hideMark/>
          </w:tcPr>
          <w:p w:rsidR="00BE618C" w:rsidRPr="004339E2" w:rsidRDefault="00BE618C" w:rsidP="00D63D66">
            <w:pPr>
              <w:overflowPunct w:val="0"/>
              <w:autoSpaceDE w:val="0"/>
              <w:autoSpaceDN w:val="0"/>
              <w:adjustRightInd w:val="0"/>
              <w:jc w:val="center"/>
              <w:rPr>
                <w:b/>
                <w:bCs/>
              </w:rPr>
            </w:pPr>
            <w:proofErr w:type="spellStart"/>
            <w:r w:rsidRPr="004339E2">
              <w:rPr>
                <w:b/>
                <w:bCs/>
                <w:lang w:val="en-US"/>
              </w:rPr>
              <w:t>Доставяни</w:t>
            </w:r>
            <w:proofErr w:type="spellEnd"/>
            <w:r w:rsidRPr="004339E2">
              <w:rPr>
                <w:b/>
                <w:bCs/>
                <w:lang w:val="en-US"/>
              </w:rPr>
              <w:t xml:space="preserve"> </w:t>
            </w:r>
            <w:proofErr w:type="spellStart"/>
            <w:r w:rsidRPr="004339E2">
              <w:rPr>
                <w:b/>
                <w:bCs/>
                <w:lang w:val="en-US"/>
              </w:rPr>
              <w:t>горива</w:t>
            </w:r>
            <w:proofErr w:type="spellEnd"/>
          </w:p>
        </w:tc>
        <w:tc>
          <w:tcPr>
            <w:tcW w:w="819" w:type="dxa"/>
            <w:tcBorders>
              <w:top w:val="single" w:sz="8" w:space="0" w:color="auto"/>
              <w:left w:val="nil"/>
              <w:bottom w:val="single" w:sz="4" w:space="0" w:color="auto"/>
              <w:right w:val="single" w:sz="4" w:space="0" w:color="auto"/>
            </w:tcBorders>
            <w:noWrap/>
            <w:vAlign w:val="bottom"/>
            <w:hideMark/>
          </w:tcPr>
          <w:p w:rsidR="00BE618C" w:rsidRPr="004339E2" w:rsidRDefault="00BE618C" w:rsidP="00D63D66">
            <w:pPr>
              <w:overflowPunct w:val="0"/>
              <w:autoSpaceDE w:val="0"/>
              <w:autoSpaceDN w:val="0"/>
              <w:adjustRightInd w:val="0"/>
              <w:jc w:val="center"/>
              <w:rPr>
                <w:b/>
                <w:bCs/>
                <w:lang w:val="en-US"/>
              </w:rPr>
            </w:pPr>
            <w:proofErr w:type="spellStart"/>
            <w:r w:rsidRPr="004339E2">
              <w:rPr>
                <w:b/>
                <w:bCs/>
                <w:lang w:val="en-US"/>
              </w:rPr>
              <w:t>ед.м</w:t>
            </w:r>
            <w:proofErr w:type="spellEnd"/>
            <w:r w:rsidRPr="004339E2">
              <w:rPr>
                <w:b/>
                <w:bCs/>
                <w:lang w:val="en-US"/>
              </w:rPr>
              <w:t>.</w:t>
            </w:r>
          </w:p>
        </w:tc>
        <w:tc>
          <w:tcPr>
            <w:tcW w:w="925" w:type="dxa"/>
            <w:tcBorders>
              <w:top w:val="single" w:sz="8" w:space="0" w:color="auto"/>
              <w:left w:val="nil"/>
              <w:bottom w:val="single" w:sz="4" w:space="0" w:color="auto"/>
              <w:right w:val="single" w:sz="8" w:space="0" w:color="auto"/>
            </w:tcBorders>
            <w:noWrap/>
            <w:vAlign w:val="bottom"/>
            <w:hideMark/>
          </w:tcPr>
          <w:p w:rsidR="00BE618C" w:rsidRPr="004339E2" w:rsidRDefault="00BE618C" w:rsidP="00D63D66">
            <w:pPr>
              <w:overflowPunct w:val="0"/>
              <w:autoSpaceDE w:val="0"/>
              <w:autoSpaceDN w:val="0"/>
              <w:adjustRightInd w:val="0"/>
              <w:jc w:val="center"/>
              <w:rPr>
                <w:b/>
                <w:bCs/>
                <w:lang w:val="en-US"/>
              </w:rPr>
            </w:pPr>
            <w:proofErr w:type="spellStart"/>
            <w:proofErr w:type="gramStart"/>
            <w:r w:rsidRPr="004339E2">
              <w:rPr>
                <w:b/>
                <w:bCs/>
                <w:lang w:val="en-US"/>
              </w:rPr>
              <w:t>кол</w:t>
            </w:r>
            <w:proofErr w:type="spellEnd"/>
            <w:proofErr w:type="gramEnd"/>
            <w:r w:rsidRPr="004339E2">
              <w:rPr>
                <w:b/>
                <w:bCs/>
                <w:lang w:val="en-US"/>
              </w:rPr>
              <w:t>.</w:t>
            </w:r>
          </w:p>
        </w:tc>
      </w:tr>
      <w:tr w:rsidR="00BE618C" w:rsidRPr="004339E2" w:rsidTr="00D63D66">
        <w:trPr>
          <w:trHeight w:val="780"/>
        </w:trPr>
        <w:tc>
          <w:tcPr>
            <w:tcW w:w="5978" w:type="dxa"/>
            <w:tcBorders>
              <w:top w:val="single" w:sz="4" w:space="0" w:color="auto"/>
              <w:left w:val="single" w:sz="8" w:space="0" w:color="auto"/>
              <w:bottom w:val="single" w:sz="4" w:space="0" w:color="auto"/>
              <w:right w:val="single" w:sz="4" w:space="0" w:color="auto"/>
            </w:tcBorders>
            <w:vAlign w:val="bottom"/>
            <w:hideMark/>
          </w:tcPr>
          <w:p w:rsidR="00BE618C" w:rsidRPr="004339E2" w:rsidRDefault="00BE618C" w:rsidP="00D63D66">
            <w:pPr>
              <w:overflowPunct w:val="0"/>
              <w:autoSpaceDE w:val="0"/>
              <w:autoSpaceDN w:val="0"/>
              <w:adjustRightInd w:val="0"/>
              <w:rPr>
                <w:lang w:val="en-US"/>
              </w:rPr>
            </w:pPr>
            <w:r w:rsidRPr="004339E2">
              <w:rPr>
                <w:sz w:val="25"/>
                <w:szCs w:val="25"/>
              </w:rPr>
              <w:t>Дизелово моторно гориво /</w:t>
            </w:r>
            <w:proofErr w:type="spellStart"/>
            <w:r w:rsidRPr="004339E2">
              <w:rPr>
                <w:sz w:val="25"/>
                <w:szCs w:val="25"/>
              </w:rPr>
              <w:t>Евродизел</w:t>
            </w:r>
            <w:proofErr w:type="spellEnd"/>
            <w:r w:rsidRPr="004339E2">
              <w:rPr>
                <w:sz w:val="25"/>
                <w:szCs w:val="25"/>
              </w:rPr>
              <w:t>/</w:t>
            </w:r>
          </w:p>
        </w:tc>
        <w:tc>
          <w:tcPr>
            <w:tcW w:w="819" w:type="dxa"/>
            <w:tcBorders>
              <w:top w:val="single" w:sz="4" w:space="0" w:color="auto"/>
              <w:left w:val="nil"/>
              <w:bottom w:val="single" w:sz="4" w:space="0" w:color="auto"/>
              <w:right w:val="single" w:sz="4" w:space="0" w:color="auto"/>
            </w:tcBorders>
            <w:noWrap/>
            <w:vAlign w:val="bottom"/>
            <w:hideMark/>
          </w:tcPr>
          <w:p w:rsidR="00BE618C" w:rsidRPr="004339E2" w:rsidRDefault="00BE618C" w:rsidP="00D63D66">
            <w:pPr>
              <w:overflowPunct w:val="0"/>
              <w:autoSpaceDE w:val="0"/>
              <w:autoSpaceDN w:val="0"/>
              <w:adjustRightInd w:val="0"/>
              <w:jc w:val="center"/>
            </w:pPr>
            <w:r w:rsidRPr="004339E2">
              <w:t>л.</w:t>
            </w:r>
          </w:p>
        </w:tc>
        <w:tc>
          <w:tcPr>
            <w:tcW w:w="925" w:type="dxa"/>
            <w:tcBorders>
              <w:top w:val="single" w:sz="4" w:space="0" w:color="auto"/>
              <w:left w:val="nil"/>
              <w:bottom w:val="single" w:sz="4" w:space="0" w:color="auto"/>
              <w:right w:val="single" w:sz="8" w:space="0" w:color="auto"/>
            </w:tcBorders>
            <w:noWrap/>
            <w:vAlign w:val="bottom"/>
            <w:hideMark/>
          </w:tcPr>
          <w:p w:rsidR="00BE618C" w:rsidRPr="004339E2" w:rsidRDefault="00BE618C" w:rsidP="00D63D66">
            <w:pPr>
              <w:overflowPunct w:val="0"/>
              <w:autoSpaceDE w:val="0"/>
              <w:autoSpaceDN w:val="0"/>
              <w:adjustRightInd w:val="0"/>
              <w:jc w:val="center"/>
            </w:pPr>
            <w:r>
              <w:t>11 000</w:t>
            </w:r>
          </w:p>
        </w:tc>
      </w:tr>
      <w:tr w:rsidR="00BE618C" w:rsidRPr="004339E2" w:rsidTr="00D63D66">
        <w:trPr>
          <w:trHeight w:val="780"/>
        </w:trPr>
        <w:tc>
          <w:tcPr>
            <w:tcW w:w="5978" w:type="dxa"/>
            <w:tcBorders>
              <w:top w:val="nil"/>
              <w:left w:val="single" w:sz="8" w:space="0" w:color="auto"/>
              <w:bottom w:val="single" w:sz="4" w:space="0" w:color="auto"/>
              <w:right w:val="single" w:sz="4" w:space="0" w:color="auto"/>
            </w:tcBorders>
            <w:vAlign w:val="bottom"/>
            <w:hideMark/>
          </w:tcPr>
          <w:p w:rsidR="00BE618C" w:rsidRPr="004339E2" w:rsidRDefault="00BE618C" w:rsidP="00D63D66">
            <w:pPr>
              <w:overflowPunct w:val="0"/>
              <w:autoSpaceDE w:val="0"/>
              <w:autoSpaceDN w:val="0"/>
              <w:adjustRightInd w:val="0"/>
              <w:rPr>
                <w:lang w:val="en-US"/>
              </w:rPr>
            </w:pPr>
            <w:proofErr w:type="spellStart"/>
            <w:r w:rsidRPr="004339E2">
              <w:rPr>
                <w:sz w:val="25"/>
                <w:szCs w:val="25"/>
              </w:rPr>
              <w:t>Безоловен</w:t>
            </w:r>
            <w:proofErr w:type="spellEnd"/>
            <w:r w:rsidRPr="004339E2">
              <w:rPr>
                <w:sz w:val="25"/>
                <w:szCs w:val="25"/>
              </w:rPr>
              <w:t xml:space="preserve"> бензин</w:t>
            </w:r>
          </w:p>
        </w:tc>
        <w:tc>
          <w:tcPr>
            <w:tcW w:w="819" w:type="dxa"/>
            <w:tcBorders>
              <w:top w:val="nil"/>
              <w:left w:val="nil"/>
              <w:bottom w:val="single" w:sz="4" w:space="0" w:color="auto"/>
              <w:right w:val="single" w:sz="4" w:space="0" w:color="auto"/>
            </w:tcBorders>
            <w:noWrap/>
            <w:vAlign w:val="bottom"/>
            <w:hideMark/>
          </w:tcPr>
          <w:p w:rsidR="00BE618C" w:rsidRPr="004339E2" w:rsidRDefault="00BE618C" w:rsidP="00D63D66">
            <w:pPr>
              <w:overflowPunct w:val="0"/>
              <w:autoSpaceDE w:val="0"/>
              <w:autoSpaceDN w:val="0"/>
              <w:adjustRightInd w:val="0"/>
              <w:jc w:val="center"/>
            </w:pPr>
            <w:r w:rsidRPr="004339E2">
              <w:t>л.</w:t>
            </w:r>
          </w:p>
        </w:tc>
        <w:tc>
          <w:tcPr>
            <w:tcW w:w="925" w:type="dxa"/>
            <w:tcBorders>
              <w:top w:val="nil"/>
              <w:left w:val="nil"/>
              <w:bottom w:val="single" w:sz="4" w:space="0" w:color="auto"/>
              <w:right w:val="single" w:sz="8" w:space="0" w:color="auto"/>
            </w:tcBorders>
            <w:noWrap/>
            <w:vAlign w:val="bottom"/>
            <w:hideMark/>
          </w:tcPr>
          <w:p w:rsidR="00BE618C" w:rsidRPr="004339E2" w:rsidRDefault="00BE618C" w:rsidP="00D63D66">
            <w:pPr>
              <w:overflowPunct w:val="0"/>
              <w:autoSpaceDE w:val="0"/>
              <w:autoSpaceDN w:val="0"/>
              <w:adjustRightInd w:val="0"/>
              <w:jc w:val="center"/>
            </w:pPr>
            <w:r>
              <w:t>8000</w:t>
            </w:r>
          </w:p>
        </w:tc>
      </w:tr>
      <w:tr w:rsidR="00BE618C" w:rsidRPr="004339E2" w:rsidTr="00D63D66">
        <w:trPr>
          <w:trHeight w:val="540"/>
        </w:trPr>
        <w:tc>
          <w:tcPr>
            <w:tcW w:w="5978" w:type="dxa"/>
            <w:tcBorders>
              <w:top w:val="nil"/>
              <w:left w:val="single" w:sz="8" w:space="0" w:color="auto"/>
              <w:bottom w:val="single" w:sz="8" w:space="0" w:color="auto"/>
              <w:right w:val="single" w:sz="4" w:space="0" w:color="auto"/>
            </w:tcBorders>
            <w:vAlign w:val="bottom"/>
            <w:hideMark/>
          </w:tcPr>
          <w:p w:rsidR="00BE618C" w:rsidRPr="004339E2" w:rsidRDefault="00BE618C" w:rsidP="00D63D66">
            <w:pPr>
              <w:overflowPunct w:val="0"/>
              <w:autoSpaceDE w:val="0"/>
              <w:autoSpaceDN w:val="0"/>
              <w:adjustRightInd w:val="0"/>
              <w:rPr>
                <w:lang w:val="en-US"/>
              </w:rPr>
            </w:pPr>
            <w:r w:rsidRPr="004339E2">
              <w:rPr>
                <w:sz w:val="25"/>
                <w:szCs w:val="25"/>
              </w:rPr>
              <w:t xml:space="preserve">Газ </w:t>
            </w:r>
            <w:proofErr w:type="spellStart"/>
            <w:r w:rsidRPr="004339E2">
              <w:rPr>
                <w:sz w:val="25"/>
                <w:szCs w:val="25"/>
              </w:rPr>
              <w:t>пропан-бутан</w:t>
            </w:r>
            <w:proofErr w:type="spellEnd"/>
          </w:p>
        </w:tc>
        <w:tc>
          <w:tcPr>
            <w:tcW w:w="819" w:type="dxa"/>
            <w:tcBorders>
              <w:top w:val="nil"/>
              <w:left w:val="nil"/>
              <w:bottom w:val="single" w:sz="8" w:space="0" w:color="auto"/>
              <w:right w:val="single" w:sz="4" w:space="0" w:color="auto"/>
            </w:tcBorders>
            <w:noWrap/>
            <w:vAlign w:val="bottom"/>
            <w:hideMark/>
          </w:tcPr>
          <w:p w:rsidR="00BE618C" w:rsidRPr="004339E2" w:rsidRDefault="00BE618C" w:rsidP="00D63D66">
            <w:pPr>
              <w:overflowPunct w:val="0"/>
              <w:autoSpaceDE w:val="0"/>
              <w:autoSpaceDN w:val="0"/>
              <w:adjustRightInd w:val="0"/>
              <w:jc w:val="center"/>
            </w:pPr>
            <w:r w:rsidRPr="004339E2">
              <w:t>л.</w:t>
            </w:r>
          </w:p>
        </w:tc>
        <w:tc>
          <w:tcPr>
            <w:tcW w:w="925" w:type="dxa"/>
            <w:tcBorders>
              <w:top w:val="nil"/>
              <w:left w:val="nil"/>
              <w:bottom w:val="single" w:sz="8" w:space="0" w:color="auto"/>
              <w:right w:val="single" w:sz="8" w:space="0" w:color="auto"/>
            </w:tcBorders>
            <w:noWrap/>
            <w:vAlign w:val="bottom"/>
            <w:hideMark/>
          </w:tcPr>
          <w:p w:rsidR="00BE618C" w:rsidRPr="004339E2" w:rsidRDefault="00BE618C" w:rsidP="00D63D66">
            <w:pPr>
              <w:overflowPunct w:val="0"/>
              <w:autoSpaceDE w:val="0"/>
              <w:autoSpaceDN w:val="0"/>
              <w:adjustRightInd w:val="0"/>
              <w:jc w:val="center"/>
            </w:pPr>
            <w:r>
              <w:t>2000</w:t>
            </w:r>
          </w:p>
        </w:tc>
      </w:tr>
    </w:tbl>
    <w:p w:rsidR="00BE618C" w:rsidRPr="004339E2" w:rsidRDefault="00BE618C" w:rsidP="00BE618C">
      <w:pPr>
        <w:pStyle w:val="a3"/>
        <w:rPr>
          <w:rFonts w:ascii="Times New Roman" w:eastAsia="Times New Roman" w:hAnsi="Times New Roman"/>
          <w:sz w:val="24"/>
          <w:szCs w:val="24"/>
          <w:lang w:eastAsia="bg-BG"/>
        </w:rPr>
      </w:pPr>
    </w:p>
    <w:p w:rsidR="00A17E70" w:rsidRDefault="00A17E70"/>
    <w:sectPr w:rsidR="00A17E70" w:rsidSect="00A17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E60B5"/>
    <w:multiLevelType w:val="hybridMultilevel"/>
    <w:tmpl w:val="A85C6534"/>
    <w:lvl w:ilvl="0" w:tplc="1494E4A8">
      <w:start w:val="2"/>
      <w:numFmt w:val="bullet"/>
      <w:lvlText w:val="-"/>
      <w:lvlJc w:val="left"/>
      <w:pPr>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8C"/>
    <w:rsid w:val="003C28B5"/>
    <w:rsid w:val="00673EC9"/>
    <w:rsid w:val="00764129"/>
    <w:rsid w:val="00854A40"/>
    <w:rsid w:val="00A17E70"/>
    <w:rsid w:val="00BE6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000000"/>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8C"/>
    <w:pPr>
      <w:spacing w:after="0" w:line="240" w:lineRule="auto"/>
    </w:pPr>
    <w:rPr>
      <w:rFonts w:eastAsia="Times New Roman"/>
      <w:b w:val="0"/>
      <w:color w:val="auto"/>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1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color w:val="000000"/>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8C"/>
    <w:pPr>
      <w:spacing w:after="0" w:line="240" w:lineRule="auto"/>
    </w:pPr>
    <w:rPr>
      <w:rFonts w:eastAsia="Times New Roman"/>
      <w:b w:val="0"/>
      <w:color w:val="auto"/>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1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PC4</cp:lastModifiedBy>
  <cp:revision>4</cp:revision>
  <dcterms:created xsi:type="dcterms:W3CDTF">2015-03-25T11:20:00Z</dcterms:created>
  <dcterms:modified xsi:type="dcterms:W3CDTF">2015-03-25T11:20:00Z</dcterms:modified>
</cp:coreProperties>
</file>